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02/2022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17.02.2022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Erika Dreveňáková  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 </w:t>
      </w:r>
      <w:r>
        <w:rPr>
          <w:b/>
          <w:bCs/>
          <w:color w:val="342A06"/>
        </w:rPr>
        <w:t>xxx</w:t>
      </w:r>
      <w:r>
        <w:rPr>
          <w:color w:val="342A06"/>
        </w:rPr>
        <w:tab/>
        <w:t xml:space="preserve"> 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</w:t>
      </w:r>
      <w:r>
        <w:rPr>
          <w:b/>
          <w:bCs/>
          <w:color w:val="342A06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  <w:r>
        <w:rPr>
          <w:b/>
          <w:bCs/>
        </w:rPr>
        <w:t xml:space="preserve">  </w:t>
      </w:r>
      <w:r>
        <w:rPr/>
        <w:t xml:space="preserve">                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</w:t>
      </w:r>
      <w:r>
        <w:rPr>
          <w:b/>
          <w:bCs/>
        </w:rPr>
        <w:t>- účinkovanie manželov Dreveňákových na koncerte rómskej hudby GIĽAV v priestoroch Štúdia HOS.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17.02.2022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>150,- €</w:t>
      </w:r>
    </w:p>
    <w:p>
      <w:pPr>
        <w:pStyle w:val="Normal"/>
        <w:shd w:val="clear" w:color="auto" w:fill="FFFFFF"/>
        <w:ind w:hanging="0"/>
        <w:rPr/>
      </w:pPr>
      <w:r>
        <w:rPr/>
        <w:t>4.2    Účastník 1 sa zaväzuje účastníkovi 2 odmenu za skutočne odvedenú prácu po jej</w:t>
      </w:r>
    </w:p>
    <w:p>
      <w:pPr>
        <w:pStyle w:val="Normal"/>
        <w:shd w:val="clear" w:color="auto" w:fill="FFFFFF"/>
        <w:ind w:hanging="0"/>
        <w:rPr/>
      </w:pPr>
      <w:r>
        <w:rPr/>
        <w:t xml:space="preserve">          </w:t>
      </w:r>
      <w:r>
        <w:rPr/>
        <w:t xml:space="preserve">prebratí  </w:t>
      </w:r>
      <w:r>
        <w:rPr>
          <w:b/>
          <w:bCs/>
        </w:rPr>
        <w:t xml:space="preserve">- vyplatiť na hotovosť - VPD </w:t>
      </w:r>
      <w:r>
        <w:rPr>
          <w:b/>
        </w:rPr>
        <w:tab/>
        <w:t xml:space="preserve"> </w:t>
      </w:r>
    </w:p>
    <w:p>
      <w:pPr>
        <w:pStyle w:val="Normal"/>
        <w:shd w:val="clear" w:color="auto" w:fill="FFFFFF"/>
        <w:ind w:left="540" w:hanging="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hanging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účinkovanie manželov Dreveňákových na koncerte rómskej hudby GIĽAV v priestoroch Štúdia HOS.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17</w:t>
      </w:r>
      <w:r>
        <w:rPr>
          <w:b/>
          <w:bCs/>
        </w:rPr>
        <w:t>.02.2022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17.02.2022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>_______________________</w:t>
        <w:tab/>
        <w:tab/>
        <w:tab/>
        <w:t xml:space="preserve">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      </w:t>
      </w:r>
      <w:r>
        <w:rPr/>
        <w:t xml:space="preserve">Erika Dreveňáková </w:t>
        <w:tab/>
        <w:tab/>
        <w:tab/>
        <w:tab/>
        <w:t xml:space="preserve">        Mgr. Lenka Tribusová</w:t>
        <w:tab/>
        <w:tab/>
        <w:tab/>
        <w:tab/>
        <w:tab/>
        <w:tab/>
        <w:tab/>
        <w:t xml:space="preserve">                      poverená vedením HOS v Bardejove</w:t>
        <w:tab/>
        <w:t xml:space="preserve"> </w:t>
      </w:r>
    </w:p>
    <w:p>
      <w:pPr>
        <w:pStyle w:val="Normal"/>
        <w:ind w:left="708" w:hanging="708"/>
        <w:rPr/>
      </w:pPr>
      <w:r>
        <w:rPr/>
      </w:r>
    </w:p>
    <w:p>
      <w:pPr>
        <w:pStyle w:val="Normal"/>
        <w:ind w:left="708" w:hanging="708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Application>LibreOffice/7.2.0.4$Windows_X86_64 LibreOffice_project/9a9c6381e3f7a62afc1329bd359cc48accb6435b</Application>
  <AppVersion>15.0000</AppVersion>
  <Pages>2</Pages>
  <Words>551</Words>
  <Characters>3173</Characters>
  <CharactersWithSpaces>4028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2022-01-20T15:16:51Z</cp:lastPrinted>
  <dcterms:modified xsi:type="dcterms:W3CDTF">2022-03-22T10:43:27Z</dcterms:modified>
  <cp:revision>23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